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7E41E894"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F32C3E">
        <w:rPr>
          <w:rFonts w:ascii="Times-Bold" w:hAnsi="Times-Bold" w:cs="Times-Bold"/>
          <w:b/>
          <w:bCs/>
        </w:rPr>
        <w:t>9</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530C6315" w:rsidR="0014138E" w:rsidRDefault="00AF6262" w:rsidP="0014138E">
      <w:pPr>
        <w:jc w:val="center"/>
        <w:rPr>
          <w:rFonts w:ascii="Times-Bold" w:hAnsi="Times-Bold" w:cs="Times-Bold"/>
          <w:b/>
          <w:bCs/>
          <w:sz w:val="28"/>
          <w:szCs w:val="28"/>
        </w:rPr>
      </w:pPr>
      <w:r>
        <w:rPr>
          <w:rFonts w:ascii="Times-Bold" w:hAnsi="Times-Bold" w:cs="Times-Bold"/>
          <w:b/>
          <w:bCs/>
          <w:sz w:val="28"/>
          <w:szCs w:val="28"/>
        </w:rPr>
        <w:t>Listopad</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75EDC8EC" w14:textId="1750C426" w:rsidR="0014138E" w:rsidRPr="006C3850" w:rsidRDefault="006C3850" w:rsidP="006C3850">
      <w:pPr>
        <w:spacing w:after="200" w:line="276" w:lineRule="auto"/>
        <w:jc w:val="both"/>
        <w:rPr>
          <w:rFonts w:ascii="Times New Roman" w:hAnsi="Times New Roman" w:cs="Times New Roman"/>
          <w:sz w:val="24"/>
          <w:szCs w:val="24"/>
        </w:rPr>
      </w:pPr>
      <w:r>
        <w:rPr>
          <w:rFonts w:ascii="Times-Roman" w:hAnsi="Times-Roman" w:cs="Times-Roman"/>
          <w:sz w:val="24"/>
          <w:szCs w:val="24"/>
        </w:rPr>
        <w:lastRenderedPageBreak/>
        <w:t xml:space="preserve">     </w:t>
      </w:r>
      <w:bookmarkStart w:id="0" w:name="_Hlk214454984"/>
      <w:r w:rsidRPr="00A812A5">
        <w:rPr>
          <w:rFonts w:ascii="Times New Roman" w:hAnsi="Times New Roman" w:cs="Times New Roman"/>
          <w:sz w:val="24"/>
          <w:szCs w:val="24"/>
        </w:rPr>
        <w:t xml:space="preserve">Świadczenie usług schronienia z usługami opiekuńczymi dla </w:t>
      </w:r>
      <w:r w:rsidR="00F32C3E">
        <w:rPr>
          <w:rFonts w:ascii="Times New Roman" w:hAnsi="Times New Roman" w:cs="Times New Roman"/>
          <w:sz w:val="24"/>
          <w:szCs w:val="24"/>
        </w:rPr>
        <w:t>kobiet</w:t>
      </w:r>
      <w:r w:rsidRPr="00A812A5">
        <w:rPr>
          <w:rFonts w:ascii="Times New Roman" w:hAnsi="Times New Roman" w:cs="Times New Roman"/>
          <w:sz w:val="24"/>
          <w:szCs w:val="24"/>
        </w:rPr>
        <w:t xml:space="preserve"> bezdomnych, któr</w:t>
      </w:r>
      <w:r>
        <w:rPr>
          <w:rFonts w:ascii="Times New Roman" w:hAnsi="Times New Roman" w:cs="Times New Roman"/>
          <w:sz w:val="24"/>
          <w:szCs w:val="24"/>
        </w:rPr>
        <w:t>zy</w:t>
      </w:r>
      <w:r w:rsidRPr="00A812A5">
        <w:rPr>
          <w:rFonts w:ascii="Times New Roman" w:hAnsi="Times New Roman" w:cs="Times New Roman"/>
          <w:sz w:val="24"/>
          <w:szCs w:val="24"/>
        </w:rPr>
        <w:t xml:space="preserve"> ze względu na wiek, chorobę lub niepełnosprawność wymagają częściowej pomocy i opieki innych osób w zaspokajaniu niezbędnych potrzeb życiowych, a jednocześnie nie wymagają usług w zakresie świadczonym przez jednostkę całodobowej opieki, zakład opiekuńczo-leczniczy lub zakład pielęgnacyjno-opiekuńczy wraz z trzema posiłkami dziennie w tym jeden ciepły. </w:t>
      </w:r>
      <w:bookmarkEnd w:id="0"/>
    </w:p>
    <w:p w14:paraId="3E41E9C4" w14:textId="36F8E294"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F32C3E">
        <w:rPr>
          <w:rFonts w:ascii="Times-Roman" w:hAnsi="Times-Roman" w:cs="Times-Roman"/>
          <w:sz w:val="24"/>
          <w:szCs w:val="24"/>
        </w:rPr>
        <w:t>1</w:t>
      </w:r>
      <w:r w:rsidR="00BE6295">
        <w:rPr>
          <w:rFonts w:ascii="Times-Roman" w:hAnsi="Times-Roman" w:cs="Times-Roman"/>
          <w:sz w:val="24"/>
          <w:szCs w:val="24"/>
        </w:rPr>
        <w:t xml:space="preserve"> o</w:t>
      </w:r>
      <w:r w:rsidR="006C3850">
        <w:rPr>
          <w:rFonts w:ascii="Times-Roman" w:hAnsi="Times-Roman" w:cs="Times-Roman"/>
          <w:sz w:val="24"/>
          <w:szCs w:val="24"/>
        </w:rPr>
        <w:t>sob</w:t>
      </w:r>
      <w:r w:rsidR="00F32C3E">
        <w:rPr>
          <w:rFonts w:ascii="Times-Roman" w:hAnsi="Times-Roman" w:cs="Times-Roman"/>
          <w:sz w:val="24"/>
          <w:szCs w:val="24"/>
        </w:rPr>
        <w:t>a</w:t>
      </w:r>
      <w:r w:rsidR="00BE6295">
        <w:rPr>
          <w:rFonts w:ascii="Times-Roman" w:hAnsi="Times-Roman" w:cs="Times-Roman"/>
          <w:sz w:val="24"/>
          <w:szCs w:val="24"/>
        </w:rPr>
        <w:t xml:space="preserve">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1"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1"/>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394"/>
      <w:bookmarkEnd w:id="2"/>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3" w:name="_Hlk43272412"/>
      <w:bookmarkEnd w:id="3"/>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4" w:name="_Hlk43272456"/>
      <w:bookmarkEnd w:id="4"/>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664860A2"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4343D3">
        <w:rPr>
          <w:b/>
        </w:rPr>
        <w:t>5</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6C3850">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5A4ABEA0" w:rsidR="00AE5509" w:rsidRDefault="00AE5509" w:rsidP="00AE5509">
      <w:pPr>
        <w:pStyle w:val="NormalnyWeb"/>
        <w:spacing w:after="0"/>
        <w:ind w:left="284" w:right="6"/>
      </w:pPr>
      <w:r>
        <w:t xml:space="preserve">1) Otwarcie ofert nastąpi w dniu </w:t>
      </w:r>
      <w:r w:rsidR="004343D3">
        <w:rPr>
          <w:b/>
        </w:rPr>
        <w:t>5</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6C3850">
        <w:rPr>
          <w:b/>
          <w:bCs/>
          <w:color w:val="000000"/>
        </w:rPr>
        <w:t>1</w:t>
      </w:r>
      <w:r w:rsidR="00706E8D">
        <w:rPr>
          <w:b/>
          <w:bCs/>
          <w:color w:val="000000"/>
        </w:rPr>
        <w:t>3</w:t>
      </w:r>
      <w:r w:rsidR="006C3850">
        <w:rPr>
          <w:b/>
          <w:bCs/>
          <w:color w:val="000000"/>
        </w:rPr>
        <w:t>.00</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5" w:name="_Hlk150235702"/>
      <w:r w:rsidRPr="00996554">
        <w:rPr>
          <w:rFonts w:ascii="Times New Roman" w:hAnsi="Times New Roman" w:cs="Times New Roman"/>
          <w:b/>
          <w:bCs/>
          <w:iCs/>
          <w:sz w:val="24"/>
          <w:szCs w:val="24"/>
        </w:rPr>
        <w:t xml:space="preserve">odległość schroniska od siedziby </w:t>
      </w:r>
      <w:bookmarkEnd w:id="5"/>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swiss"/>
    <w:pitch w:val="variable"/>
  </w:font>
  <w:font w:name="Times-Bold">
    <w:altName w:val="Times New Roman"/>
    <w:charset w:val="00"/>
    <w:family w:val="swiss"/>
    <w:pitch w:val="variable"/>
  </w:font>
  <w:font w:name="TimesNewRoman,Bold">
    <w:altName w:val="Times New Roman"/>
    <w:charset w:val="00"/>
    <w:family w:val="swiss"/>
    <w:pitch w:val="variable"/>
  </w:font>
  <w:font w:name="TimesNewRoman">
    <w:altName w:val="Times New Roman"/>
    <w:charset w:val="00"/>
    <w:family w:val="swiss"/>
    <w:pitch w:val="variable"/>
  </w:font>
  <w:font w:name="Times-BoldItalic">
    <w:altName w:val="Times New Roman"/>
    <w:charset w:val="00"/>
    <w:family w:val="swiss"/>
    <w:pitch w:val="variable"/>
  </w:font>
  <w:font w:name="TimesNewRoman,BoldItalic">
    <w:altName w:val="Times New Roman"/>
    <w:charset w:val="00"/>
    <w:family w:val="swiss"/>
    <w:pitch w:val="variable"/>
  </w:font>
  <w:font w:name="Times-Italic">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53441"/>
    <w:rsid w:val="005822E6"/>
    <w:rsid w:val="005A3373"/>
    <w:rsid w:val="005A7079"/>
    <w:rsid w:val="005F0221"/>
    <w:rsid w:val="006356BE"/>
    <w:rsid w:val="00660A40"/>
    <w:rsid w:val="00675A6B"/>
    <w:rsid w:val="006C1502"/>
    <w:rsid w:val="006C3850"/>
    <w:rsid w:val="006F02C5"/>
    <w:rsid w:val="0070168F"/>
    <w:rsid w:val="00702895"/>
    <w:rsid w:val="00704CD5"/>
    <w:rsid w:val="00706E8D"/>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60521"/>
    <w:rsid w:val="00E71A16"/>
    <w:rsid w:val="00E744D0"/>
    <w:rsid w:val="00EB101C"/>
    <w:rsid w:val="00F03D4C"/>
    <w:rsid w:val="00F31D0C"/>
    <w:rsid w:val="00F32C3E"/>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27</Pages>
  <Words>8003</Words>
  <Characters>48022</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18</cp:revision>
  <cp:lastPrinted>2024-11-21T09:20:00Z</cp:lastPrinted>
  <dcterms:created xsi:type="dcterms:W3CDTF">2021-11-02T09:17:00Z</dcterms:created>
  <dcterms:modified xsi:type="dcterms:W3CDTF">2025-11-19T14:10:00Z</dcterms:modified>
</cp:coreProperties>
</file>